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651462">
      <w:r>
        <w:rPr>
          <w:rStyle w:val="headertext1"/>
        </w:rPr>
        <w:t>06.12.2010 17:24</w:t>
      </w:r>
      <w:r>
        <w:t xml:space="preserve"> </w:t>
      </w:r>
      <w:r>
        <w:rPr>
          <w:rStyle w:val="headertext1"/>
        </w:rPr>
        <w:t>Открытое акционерное общество "ГАЗКОН"</w:t>
      </w:r>
      <w:r>
        <w:t xml:space="preserve"> </w:t>
      </w:r>
      <w:r>
        <w:rPr>
          <w:rStyle w:val="headertext1"/>
        </w:rPr>
        <w:t>Информация об итогах осуществления акционерами преимущественного права приобретения размещаемых ценных бумаг</w:t>
      </w:r>
      <w:r>
        <w:t xml:space="preserve"> </w:t>
      </w:r>
      <w:r>
        <w:br/>
      </w:r>
      <w:r>
        <w:br/>
        <w:t xml:space="preserve">ИНОЕ СООБЩЕНИЕ </w:t>
      </w:r>
      <w:r>
        <w:br/>
        <w:t xml:space="preserve">«Информация об итогах осуществления акционерами преимущественного права приобретения размещаемых ценных бумаг» </w:t>
      </w:r>
      <w:r>
        <w:br/>
      </w:r>
      <w:r>
        <w:br/>
        <w:t xml:space="preserve">1. Общие сведения </w:t>
      </w:r>
      <w:r>
        <w:br/>
        <w:t xml:space="preserve">1.1. Полное фирменное наименование эмитента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w:t>
      </w:r>
      <w:proofErr w:type="gramStart"/>
      <w:r>
        <w:t>г</w:t>
      </w:r>
      <w:proofErr w:type="gramEnd"/>
      <w:r>
        <w:t xml:space="preserve">. Москва,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09870-А </w:t>
      </w:r>
      <w:r>
        <w:br/>
        <w:t xml:space="preserve">1.7. Адрес страницы в сети Интернет, используемой эмитентом для раскрытия информации http://www.e-disclosure.ru/portal/company.aspx?id=11633 </w:t>
      </w:r>
      <w:r>
        <w:br/>
      </w:r>
      <w:r>
        <w:br/>
        <w:t xml:space="preserve">2. Содержание сообщения </w:t>
      </w:r>
      <w:r>
        <w:br/>
        <w:t xml:space="preserve">2.1. Сведения о размещаемых ценных бумагах: </w:t>
      </w:r>
      <w:r>
        <w:br/>
        <w:t xml:space="preserve">2.1.1. Вид, категория (тип), серия и иные идентификационные признаки ценных бумаг: акции обыкновенные именные бездокументарные номинальной стоимостью 10 (Десять) рублей каждая в количестве 139 535 000 (Сто тридцать девять миллионов пятьсот тридцать пять тысяч) штук, размещаемые посредством открытой подписки (далее «Акции»). </w:t>
      </w:r>
      <w:r>
        <w:br/>
        <w:t xml:space="preserve">2.1.2. Срок погашения (для облигаций и опционов эмитента): ценные бумаги не являются облигациями или опционами эмитента. </w:t>
      </w:r>
      <w:r>
        <w:br/>
        <w:t xml:space="preserve">2.1.3. Государственный регистрационный номер дополнительного выпуска ценных бумаг и дата государственной регистрации: 1-01-09870-А-001D «02» ноября 2010 года </w:t>
      </w:r>
      <w:r>
        <w:br/>
        <w:t xml:space="preserve">2.1.4. Наименование регистрирующего органа, осуществившего государственную регистрацию дополнительного выпуска ценных бумаг: ФСФР России </w:t>
      </w:r>
      <w:r>
        <w:br/>
        <w:t xml:space="preserve">2.1.5. Количество размещаемых ценных бумаг и номинальная стоимость (если наличие номинальной стоимости предусмотрено законодательством Российской Федерации) каждой размещаемой ценной бумаги: количество размещаемых ценных бумаг: 139 535 000 (Сто тридцать девять миллионов пятьсот тридцать пять тысяч) штук номинальной стоимостью 10 (Десять) рублей каждая. </w:t>
      </w:r>
      <w:r>
        <w:br/>
        <w:t xml:space="preserve">2.1.6. Способ размещения ценных бумаг: открытая подписка </w:t>
      </w:r>
      <w:r>
        <w:br/>
        <w:t xml:space="preserve">2.2. Дата начала размещения ценных бумаг: </w:t>
      </w:r>
      <w:r>
        <w:br/>
        <w:t xml:space="preserve">Дата начала размещения Акций определяется решением единоличного исполнительного органа Эмитента после государственной регистрации дополнительного выпуска Акций и окончания срока действия преимущественного права приобретения Акций – 09 декабря 2010 года. </w:t>
      </w:r>
      <w:r>
        <w:br/>
        <w:t xml:space="preserve">Размещение Акций лицам, имеющим преимущественное право приобретения Акций, осуществляется на основании поданных такими лицами письменных заявлений о приобретении Акций (далее - «Заявление»). </w:t>
      </w:r>
      <w:r>
        <w:br/>
        <w:t xml:space="preserve">Подача Заявления лицом, имеющим преимущественное право приобретения Акций, осуществляется в течение 20 (Двадцати) дней с момента вручения Уведомления под роспись каждому лицу, указанному в списке лиц, имеющих преимущественное право приобретения размещаемых Акций. </w:t>
      </w:r>
      <w:r>
        <w:br/>
      </w:r>
      <w:r>
        <w:lastRenderedPageBreak/>
        <w:t xml:space="preserve">В процессе осуществления преимущественного права приобретения Акций с лицами, имеющими преимущественное право приобретения Акций, заключаются гражданско-правовые договоры. </w:t>
      </w:r>
      <w:r>
        <w:br/>
        <w:t xml:space="preserve">После окончания Срока действия преимущественного права Эмитент определяет цену размещения Акций (в том числе цену размещения Акций лицам, включенным в список лиц, имеющих преимущественное право приобретения Акций) и раскрывает указанную информацию в порядке, указанном в п. 11 Решения о дополнительном выпуске и п. 2.9. Проспекта ценных бумаг. </w:t>
      </w:r>
      <w:r>
        <w:br/>
        <w:t xml:space="preserve">Лицо, осуществляющее преимущественное право приобретения Акций, оплачивает приобретаемые Акции не позднее 5 (Пяти) рабочих дней с момента раскрытия Эмитентом информации о цене размещения Акций в порядке, указанном в п. 11 Решения о дополнительном выпуске и п. 2.9 Проспекта ценных бумаг, по цене размещения Акций лицам, имеющим преимущественное право приобретения Акций. </w:t>
      </w:r>
      <w:r>
        <w:br/>
        <w:t xml:space="preserve">После зачисления денежных средств, перечисленных в оплату Акций лицом, осуществившим преимущественное право приобретения Акций, на счет Эмитента, указанный в п.8.6 Решения о дополнительном выпуске и п. 2.6. Проспекта ценных бумаг, но не ранее Даты начала размещения, Эмитент направляет регистратору Эмитента передаточное распоряжение о зачислении Акций на лицевой счет такого лица (номинального держателя, осуществляющего учет прав такого лица на акции Эмитента). Договор купли-продажи Акций с лицами, осуществляющими преимущественное право их приобретения, считается заключенным в момент направления регистратору Эмитента указанного передаточного распоряжения. </w:t>
      </w:r>
      <w:r>
        <w:br/>
        <w:t xml:space="preserve">2.3. Дата окончания размещения ценных бумаг: </w:t>
      </w:r>
      <w:r>
        <w:br/>
        <w:t xml:space="preserve">Дата окончания размещения Акций, или порядок ее определения: </w:t>
      </w:r>
      <w:r>
        <w:br/>
        <w:t xml:space="preserve">Датой окончания размещения Акций (далее – «Дата окончания размещения») является наиболее ранняя из следующих дат: </w:t>
      </w:r>
      <w:r>
        <w:br/>
        <w:t xml:space="preserve">а) 150-й (Сто пятидесятый день) день </w:t>
      </w:r>
      <w:proofErr w:type="gramStart"/>
      <w:r>
        <w:t>с Даты начала</w:t>
      </w:r>
      <w:proofErr w:type="gramEnd"/>
      <w:r>
        <w:t xml:space="preserve"> размещения; </w:t>
      </w:r>
      <w:r>
        <w:br/>
        <w:t xml:space="preserve">б) дата размещения последней Акции дополнительного выпуска. </w:t>
      </w:r>
      <w:r>
        <w:br/>
        <w:t xml:space="preserve">При этом Дата окончания размещения не может быть позднее, чем через один год </w:t>
      </w:r>
      <w:proofErr w:type="gramStart"/>
      <w:r>
        <w:t>с даты</w:t>
      </w:r>
      <w:proofErr w:type="gramEnd"/>
      <w:r>
        <w:t xml:space="preserve"> государственной регистрации дополнительного выпуска Акций. </w:t>
      </w:r>
      <w:r>
        <w:br/>
      </w:r>
      <w:r>
        <w:br/>
        <w:t xml:space="preserve">Размещение ценных бумаг дополнительного выпуска не завершено. </w:t>
      </w:r>
      <w:r>
        <w:br/>
        <w:t xml:space="preserve">2.4. Предоставление акционерам эмитента и/или иным лицам преимущественного права приобретения ценных бумаг: В соответствии со ст. 40, 41 Федерального закона № 208-ФЗ «Об акционерных обществах» все акционеры Эмитента имеют преимущественное право приобретения размещаемых дополнительных Акций в количестве, пропорциональном количеству принадлежащих им Акций Эмитента. Список лиц, имеющих преимущественное право приобретения дополнительных Акций, составляется на основании данных реестра акционеров Эмитента на дату составления списка лиц, имеющих право на участие во внеочередном Общем собрании акционеров Эмитента, на котором принято решение об увеличении уставного капитала Эмитента («05» августа 2010 г.). </w:t>
      </w:r>
      <w:r>
        <w:br/>
        <w:t xml:space="preserve">2.5. Дата осуществления Эмитентом в полном объеме своих обязанностей по уведомлению лиц, имеющих преимущественное право приобретения Акций: 08.11.2010 г. </w:t>
      </w:r>
      <w:r>
        <w:br/>
        <w:t xml:space="preserve">2.6. Дата составления списка лиц, имеющих преимущественное право приобретения Акций: 05.08.2010 г. </w:t>
      </w:r>
      <w:r>
        <w:br/>
        <w:t xml:space="preserve">2.7. Фактический срок осуществления преимущественного права: </w:t>
      </w:r>
      <w:r>
        <w:br/>
        <w:t xml:space="preserve">Дата </w:t>
      </w:r>
      <w:proofErr w:type="gramStart"/>
      <w:r>
        <w:t>начала срока действия преимущественного права приобретения ценных</w:t>
      </w:r>
      <w:proofErr w:type="gramEnd"/>
      <w:r>
        <w:t xml:space="preserve"> бумаг: 08.11.2010 г. </w:t>
      </w:r>
      <w:r>
        <w:br/>
        <w:t xml:space="preserve">Дата окончания срока действия преимущественного права приобретения ценных бумаг: 28.11.2010 г. </w:t>
      </w:r>
      <w:r>
        <w:br/>
        <w:t xml:space="preserve">2.8. Количество акций, которое может приобрести лицо, решившее воспользоваться имеющимся у </w:t>
      </w:r>
      <w:r>
        <w:lastRenderedPageBreak/>
        <w:t xml:space="preserve">него преимущественным правом приобретения ценных бумаг данного выпуска: В соответствии со ст. 40, 41 Федерального закона № 208-ФЗ «Об акционерных обществах» все акционеры Эмитента имеют преимущественное право приобретения размещаемых дополнительных Акций в количестве, пропорциональном количеству принадлежащих им Акций Эмитента. </w:t>
      </w:r>
      <w:r>
        <w:br/>
        <w:t xml:space="preserve">2.9. Дата получения Эмитентом первого заявления на приобретение Акций в порядке осуществления преимущественного права: Заявления на приобретение Акций в порядке осуществления преимущественного права Эмитенту не поступали. </w:t>
      </w:r>
      <w:r>
        <w:br/>
        <w:t xml:space="preserve">2.10. Дата получения Эмитентом последнего заявления на приобретение Акций в порядке осуществления преимущественного права: Заявления на приобретение Акций в порядке осуществления преимущественного права Эмитенту не поступали. </w:t>
      </w:r>
      <w:r>
        <w:br/>
        <w:t xml:space="preserve">2.11. Количество фактически размещенных ценных бумаг по преимущественному праву (оплаченных ценных бумаг выпуска): 0 штук. </w:t>
      </w:r>
      <w:r>
        <w:br/>
        <w:t xml:space="preserve">2.12. Доля фактически размещенных ценных бумаг (оплаченных ценных бумаг выпуска) от общего количества ценных бумаг дополнительного выпуска, подлежащих размещению: 0 % </w:t>
      </w:r>
      <w:r>
        <w:br/>
        <w:t xml:space="preserve">2.13. Фактическая цена (цены) размещения ценных бумаг дополнительного выпуска и количество ценных бумаг, размещенных по каждой из цен размещения: </w:t>
      </w:r>
      <w:r>
        <w:br/>
        <w:t xml:space="preserve">Цена размещения Акций: 215,00 (Двести пятнадцать) рублей 00 копеек за одну акцию. </w:t>
      </w:r>
      <w:r>
        <w:br/>
        <w:t xml:space="preserve">Форма и порядок оплаты размещаемых дополнительных акций: акции оплачиваются денежными средствами в валюте Российской Федерации в безналичном порядке. </w:t>
      </w:r>
      <w:r>
        <w:br/>
        <w:t xml:space="preserve">Цена размещения Акций установлена Решением Совета директоров ОАО «ГАЗКОН» (Протокол № 28 от 29 ноября 2010 г.), является одинаковой для всех покупателей, в том числе для акционеров, имеющих преимущественное право приобретения размещаемых ценных бумаг. </w:t>
      </w:r>
      <w:r>
        <w:br/>
        <w:t xml:space="preserve">Количество оплаченных акций акционерами в рамках осуществления преимущественного права: 0 штук. </w:t>
      </w:r>
      <w:r>
        <w:br/>
        <w:t xml:space="preserve">2.14. Орган эмитента, утвердивший итоги осуществления преимущественного права приобретения размещаемых ценных бумаг: Директор ОАО «ГАЗКОН». </w:t>
      </w:r>
      <w:r>
        <w:br/>
        <w:t xml:space="preserve">2.15. Дата подведения итогов осуществления акционерами преимущественного права приобретения размещаемых дополнительных акций: 06 декабря 2010 года. </w:t>
      </w:r>
      <w:r>
        <w:br/>
        <w:t xml:space="preserve">3. Подпись </w:t>
      </w:r>
      <w:r>
        <w:br/>
        <w:t xml:space="preserve">3.1. Директор ОАО «ГАЗКОН» Т.А. </w:t>
      </w:r>
      <w:proofErr w:type="spellStart"/>
      <w:r>
        <w:t>Канунникова</w:t>
      </w:r>
      <w:proofErr w:type="spellEnd"/>
      <w:r>
        <w:t xml:space="preserve"> </w:t>
      </w:r>
      <w:r>
        <w:br/>
        <w:t xml:space="preserve">(подпись) </w:t>
      </w:r>
      <w:r>
        <w:br/>
        <w:t xml:space="preserve">3.2. Дата 06 декабря 20 10 г. М.П. </w:t>
      </w:r>
      <w:r>
        <w:br/>
      </w:r>
      <w:r>
        <w:br/>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1462"/>
    <w:rsid w:val="00003076"/>
    <w:rsid w:val="0000345A"/>
    <w:rsid w:val="000037F4"/>
    <w:rsid w:val="00003C33"/>
    <w:rsid w:val="00005B85"/>
    <w:rsid w:val="00005C4C"/>
    <w:rsid w:val="00006436"/>
    <w:rsid w:val="00011373"/>
    <w:rsid w:val="00011BAD"/>
    <w:rsid w:val="0001650D"/>
    <w:rsid w:val="000167CF"/>
    <w:rsid w:val="00016D2F"/>
    <w:rsid w:val="000218A4"/>
    <w:rsid w:val="00022FCC"/>
    <w:rsid w:val="00024DB2"/>
    <w:rsid w:val="00025588"/>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1EBC"/>
    <w:rsid w:val="00066E2C"/>
    <w:rsid w:val="0006703F"/>
    <w:rsid w:val="00070367"/>
    <w:rsid w:val="000704BB"/>
    <w:rsid w:val="00071C63"/>
    <w:rsid w:val="00073C42"/>
    <w:rsid w:val="00076194"/>
    <w:rsid w:val="00076542"/>
    <w:rsid w:val="000804D0"/>
    <w:rsid w:val="00080AF4"/>
    <w:rsid w:val="00082250"/>
    <w:rsid w:val="00082D8F"/>
    <w:rsid w:val="00086586"/>
    <w:rsid w:val="000865CF"/>
    <w:rsid w:val="000875F7"/>
    <w:rsid w:val="000926FB"/>
    <w:rsid w:val="00096A11"/>
    <w:rsid w:val="000A0BD9"/>
    <w:rsid w:val="000A1DF0"/>
    <w:rsid w:val="000A67AA"/>
    <w:rsid w:val="000A75C9"/>
    <w:rsid w:val="000A7D4E"/>
    <w:rsid w:val="000B0973"/>
    <w:rsid w:val="000B2A77"/>
    <w:rsid w:val="000B4F25"/>
    <w:rsid w:val="000C25F8"/>
    <w:rsid w:val="000C44B8"/>
    <w:rsid w:val="000C58BC"/>
    <w:rsid w:val="000C5ED4"/>
    <w:rsid w:val="000C6692"/>
    <w:rsid w:val="000C6EDB"/>
    <w:rsid w:val="000D1263"/>
    <w:rsid w:val="000D4A87"/>
    <w:rsid w:val="000D7693"/>
    <w:rsid w:val="000E12DA"/>
    <w:rsid w:val="000E13D1"/>
    <w:rsid w:val="000E4D0D"/>
    <w:rsid w:val="000E6559"/>
    <w:rsid w:val="000F1C84"/>
    <w:rsid w:val="000F1DD1"/>
    <w:rsid w:val="000F2951"/>
    <w:rsid w:val="000F4A9D"/>
    <w:rsid w:val="000F7F38"/>
    <w:rsid w:val="001007DA"/>
    <w:rsid w:val="00100F0B"/>
    <w:rsid w:val="00102BDD"/>
    <w:rsid w:val="00102BE6"/>
    <w:rsid w:val="00103F05"/>
    <w:rsid w:val="00104F7E"/>
    <w:rsid w:val="00111302"/>
    <w:rsid w:val="00111E2D"/>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A7CB2"/>
    <w:rsid w:val="001B1355"/>
    <w:rsid w:val="001B393C"/>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3AF3"/>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051"/>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1492"/>
    <w:rsid w:val="00343EAA"/>
    <w:rsid w:val="00344988"/>
    <w:rsid w:val="003467F0"/>
    <w:rsid w:val="003500D5"/>
    <w:rsid w:val="003510F3"/>
    <w:rsid w:val="00351961"/>
    <w:rsid w:val="00351D8A"/>
    <w:rsid w:val="0035291B"/>
    <w:rsid w:val="003531C0"/>
    <w:rsid w:val="003535D8"/>
    <w:rsid w:val="003559CA"/>
    <w:rsid w:val="00364C7C"/>
    <w:rsid w:val="00365AFA"/>
    <w:rsid w:val="00370324"/>
    <w:rsid w:val="003703C6"/>
    <w:rsid w:val="00370C06"/>
    <w:rsid w:val="00371BC5"/>
    <w:rsid w:val="00372438"/>
    <w:rsid w:val="00372A8E"/>
    <w:rsid w:val="00374CC2"/>
    <w:rsid w:val="00375C46"/>
    <w:rsid w:val="00376A47"/>
    <w:rsid w:val="003808A6"/>
    <w:rsid w:val="00381F93"/>
    <w:rsid w:val="00382C27"/>
    <w:rsid w:val="0038362A"/>
    <w:rsid w:val="003850AC"/>
    <w:rsid w:val="00385684"/>
    <w:rsid w:val="00385EC0"/>
    <w:rsid w:val="003873DA"/>
    <w:rsid w:val="00387A35"/>
    <w:rsid w:val="003919EF"/>
    <w:rsid w:val="003934A9"/>
    <w:rsid w:val="00396A5A"/>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0FE4"/>
    <w:rsid w:val="003E14DA"/>
    <w:rsid w:val="003E36B6"/>
    <w:rsid w:val="003E5398"/>
    <w:rsid w:val="003E547E"/>
    <w:rsid w:val="003E6DC5"/>
    <w:rsid w:val="003E6F28"/>
    <w:rsid w:val="003E6FF6"/>
    <w:rsid w:val="003F12BB"/>
    <w:rsid w:val="003F16BB"/>
    <w:rsid w:val="003F20BE"/>
    <w:rsid w:val="003F386D"/>
    <w:rsid w:val="003F5C92"/>
    <w:rsid w:val="003F7226"/>
    <w:rsid w:val="003F7682"/>
    <w:rsid w:val="00400BAD"/>
    <w:rsid w:val="00402442"/>
    <w:rsid w:val="00402467"/>
    <w:rsid w:val="004068A8"/>
    <w:rsid w:val="00406E7D"/>
    <w:rsid w:val="004073F2"/>
    <w:rsid w:val="00407696"/>
    <w:rsid w:val="004113A6"/>
    <w:rsid w:val="00412F94"/>
    <w:rsid w:val="004136D4"/>
    <w:rsid w:val="00413C33"/>
    <w:rsid w:val="00415217"/>
    <w:rsid w:val="00415C5E"/>
    <w:rsid w:val="00415DA2"/>
    <w:rsid w:val="00421D1B"/>
    <w:rsid w:val="00422C1A"/>
    <w:rsid w:val="00424FA5"/>
    <w:rsid w:val="00425956"/>
    <w:rsid w:val="00425E46"/>
    <w:rsid w:val="004308AD"/>
    <w:rsid w:val="00432F98"/>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52F9"/>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6151"/>
    <w:rsid w:val="004978C8"/>
    <w:rsid w:val="004A027B"/>
    <w:rsid w:val="004A0A40"/>
    <w:rsid w:val="004A146B"/>
    <w:rsid w:val="004A1810"/>
    <w:rsid w:val="004A1B65"/>
    <w:rsid w:val="004A2601"/>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3061"/>
    <w:rsid w:val="00543A2B"/>
    <w:rsid w:val="00546FBC"/>
    <w:rsid w:val="00547A21"/>
    <w:rsid w:val="00550E8C"/>
    <w:rsid w:val="00552277"/>
    <w:rsid w:val="00552A07"/>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3E61"/>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279FE"/>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1462"/>
    <w:rsid w:val="00652780"/>
    <w:rsid w:val="00660F25"/>
    <w:rsid w:val="00662212"/>
    <w:rsid w:val="006626FC"/>
    <w:rsid w:val="00663A61"/>
    <w:rsid w:val="00663B72"/>
    <w:rsid w:val="00663D03"/>
    <w:rsid w:val="00664263"/>
    <w:rsid w:val="0066512E"/>
    <w:rsid w:val="00666069"/>
    <w:rsid w:val="00667E46"/>
    <w:rsid w:val="00670913"/>
    <w:rsid w:val="00670C81"/>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4059"/>
    <w:rsid w:val="006B013D"/>
    <w:rsid w:val="006B093A"/>
    <w:rsid w:val="006B2B90"/>
    <w:rsid w:val="006B3B74"/>
    <w:rsid w:val="006C3487"/>
    <w:rsid w:val="006C5636"/>
    <w:rsid w:val="006D10FF"/>
    <w:rsid w:val="006D4326"/>
    <w:rsid w:val="006D51EC"/>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21E4"/>
    <w:rsid w:val="00735546"/>
    <w:rsid w:val="00735B6B"/>
    <w:rsid w:val="00735E18"/>
    <w:rsid w:val="007367EF"/>
    <w:rsid w:val="00737C41"/>
    <w:rsid w:val="00737E0C"/>
    <w:rsid w:val="007402F3"/>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2C29"/>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4F10"/>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49E2"/>
    <w:rsid w:val="00856798"/>
    <w:rsid w:val="00856B3B"/>
    <w:rsid w:val="00857B5D"/>
    <w:rsid w:val="0086029A"/>
    <w:rsid w:val="00864F14"/>
    <w:rsid w:val="00865121"/>
    <w:rsid w:val="00867F46"/>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70DC"/>
    <w:rsid w:val="00907852"/>
    <w:rsid w:val="00907D3F"/>
    <w:rsid w:val="009112E1"/>
    <w:rsid w:val="00911D61"/>
    <w:rsid w:val="0091203B"/>
    <w:rsid w:val="0091230B"/>
    <w:rsid w:val="00914D05"/>
    <w:rsid w:val="00915D71"/>
    <w:rsid w:val="00917D05"/>
    <w:rsid w:val="00921B29"/>
    <w:rsid w:val="00921EFF"/>
    <w:rsid w:val="00922065"/>
    <w:rsid w:val="00923743"/>
    <w:rsid w:val="00923907"/>
    <w:rsid w:val="00923D34"/>
    <w:rsid w:val="00930FD5"/>
    <w:rsid w:val="0093163F"/>
    <w:rsid w:val="00931771"/>
    <w:rsid w:val="0093351D"/>
    <w:rsid w:val="00934E98"/>
    <w:rsid w:val="00934F20"/>
    <w:rsid w:val="00935209"/>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10F"/>
    <w:rsid w:val="0096549A"/>
    <w:rsid w:val="00965A3E"/>
    <w:rsid w:val="0096742D"/>
    <w:rsid w:val="00970225"/>
    <w:rsid w:val="00972560"/>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4E74"/>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B29"/>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7415"/>
    <w:rsid w:val="00A90D89"/>
    <w:rsid w:val="00A97E16"/>
    <w:rsid w:val="00AA1980"/>
    <w:rsid w:val="00AA3197"/>
    <w:rsid w:val="00AA4252"/>
    <w:rsid w:val="00AA46B3"/>
    <w:rsid w:val="00AA54B7"/>
    <w:rsid w:val="00AA5D33"/>
    <w:rsid w:val="00AB102C"/>
    <w:rsid w:val="00AB1DBF"/>
    <w:rsid w:val="00AB3E1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A66"/>
    <w:rsid w:val="00BA2193"/>
    <w:rsid w:val="00BA2348"/>
    <w:rsid w:val="00BA2DCE"/>
    <w:rsid w:val="00BA4C05"/>
    <w:rsid w:val="00BA702F"/>
    <w:rsid w:val="00BB3A86"/>
    <w:rsid w:val="00BB3B7E"/>
    <w:rsid w:val="00BB48A8"/>
    <w:rsid w:val="00BB5B32"/>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4743"/>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0294"/>
    <w:rsid w:val="00C73B5B"/>
    <w:rsid w:val="00C74DEF"/>
    <w:rsid w:val="00C75093"/>
    <w:rsid w:val="00C768E8"/>
    <w:rsid w:val="00C7766E"/>
    <w:rsid w:val="00C800C4"/>
    <w:rsid w:val="00C803B0"/>
    <w:rsid w:val="00C81A0F"/>
    <w:rsid w:val="00C82169"/>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5F17"/>
    <w:rsid w:val="00D06D34"/>
    <w:rsid w:val="00D07726"/>
    <w:rsid w:val="00D07ACF"/>
    <w:rsid w:val="00D07F13"/>
    <w:rsid w:val="00D10B77"/>
    <w:rsid w:val="00D11194"/>
    <w:rsid w:val="00D11EEC"/>
    <w:rsid w:val="00D1505D"/>
    <w:rsid w:val="00D153A3"/>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562A9"/>
    <w:rsid w:val="00D565F4"/>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0E95"/>
    <w:rsid w:val="00DA4C27"/>
    <w:rsid w:val="00DA4E59"/>
    <w:rsid w:val="00DA5031"/>
    <w:rsid w:val="00DB449D"/>
    <w:rsid w:val="00DB6038"/>
    <w:rsid w:val="00DB61F1"/>
    <w:rsid w:val="00DC0ADC"/>
    <w:rsid w:val="00DC0CF3"/>
    <w:rsid w:val="00DC1893"/>
    <w:rsid w:val="00DC20AF"/>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4476"/>
    <w:rsid w:val="00E06409"/>
    <w:rsid w:val="00E066F6"/>
    <w:rsid w:val="00E07E21"/>
    <w:rsid w:val="00E10899"/>
    <w:rsid w:val="00E133A6"/>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A9D"/>
    <w:rsid w:val="00E758AE"/>
    <w:rsid w:val="00E77033"/>
    <w:rsid w:val="00E80209"/>
    <w:rsid w:val="00E8042B"/>
    <w:rsid w:val="00E81EA6"/>
    <w:rsid w:val="00E823A5"/>
    <w:rsid w:val="00E84712"/>
    <w:rsid w:val="00E8521D"/>
    <w:rsid w:val="00E8574D"/>
    <w:rsid w:val="00E869CA"/>
    <w:rsid w:val="00E9083B"/>
    <w:rsid w:val="00E90B5C"/>
    <w:rsid w:val="00E90BEA"/>
    <w:rsid w:val="00E929FB"/>
    <w:rsid w:val="00E9552F"/>
    <w:rsid w:val="00E97726"/>
    <w:rsid w:val="00EA1233"/>
    <w:rsid w:val="00EA3341"/>
    <w:rsid w:val="00EA6D5B"/>
    <w:rsid w:val="00EA7790"/>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130"/>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924"/>
    <w:rsid w:val="00FC0257"/>
    <w:rsid w:val="00FC320C"/>
    <w:rsid w:val="00FC3C54"/>
    <w:rsid w:val="00FC49B1"/>
    <w:rsid w:val="00FC4B3E"/>
    <w:rsid w:val="00FC512F"/>
    <w:rsid w:val="00FC6159"/>
    <w:rsid w:val="00FC61D7"/>
    <w:rsid w:val="00FC63EB"/>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651462"/>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1258</Words>
  <Characters>7176</Characters>
  <Application>Microsoft Office Word</Application>
  <DocSecurity>0</DocSecurity>
  <Lines>59</Lines>
  <Paragraphs>16</Paragraphs>
  <ScaleCrop>false</ScaleCrop>
  <Company>Microsoft</Company>
  <LinksUpToDate>false</LinksUpToDate>
  <CharactersWithSpaces>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2012-06-22T09:39:00Z</dcterms:created>
  <dcterms:modified xsi:type="dcterms:W3CDTF">2012-06-22T09:40:00Z</dcterms:modified>
</cp:coreProperties>
</file>