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972467">
      <w:r>
        <w:rPr>
          <w:rStyle w:val="headertext1"/>
        </w:rPr>
        <w:t>26.05.2011 09:59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>
        <w:br/>
      </w:r>
      <w: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</w:t>
      </w:r>
      <w:proofErr w:type="spellStart"/>
      <w:proofErr w:type="gramStart"/>
      <w:r>
        <w:t>участие</w:t>
      </w:r>
      <w:proofErr w:type="spellEnd"/>
      <w:proofErr w:type="gramEnd"/>
      <w:r>
        <w:t xml:space="preserve"> в годовом общем собрании акционеров ОАО «ГАЗКОН», назначенном на 27 июня 2011 г. </w:t>
      </w:r>
      <w:r>
        <w:br/>
      </w:r>
      <w:r>
        <w:br/>
        <w:t xml:space="preserve">2.3. Дата, на которую составляется список владельцев именных эмиссионными ценных бумаг эмитента: 25 мая 2011 г. на конец операционного дня </w:t>
      </w:r>
      <w:r>
        <w:br/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25.05.2011 г., Протокол №33 заседания Совета директоров ОАО «ГАЗКОН»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«25 » мая 20 11 г. М. П. </w:t>
      </w:r>
      <w:r>
        <w:br/>
      </w:r>
      <w:r>
        <w:br/>
      </w:r>
      <w:r>
        <w:lastRenderedPageBreak/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467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467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72467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2012-06-22T08:15:00Z</dcterms:created>
  <dcterms:modified xsi:type="dcterms:W3CDTF">2012-06-22T08:16:00Z</dcterms:modified>
</cp:coreProperties>
</file>