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2F38D3">
      <w:r>
        <w:rPr>
          <w:rStyle w:val="headertext1"/>
        </w:rPr>
        <w:t>28.06.2011 17:55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28.06.2011 г. </w:t>
      </w:r>
      <w:r>
        <w:br/>
        <w:t xml:space="preserve">2.2. Дата проведения заседания совета директоров эмитента: 28.06.2011 г. </w:t>
      </w:r>
      <w:r>
        <w:br/>
        <w:t xml:space="preserve">2.3. Повестка дня заседания совета директоров эмитента: </w:t>
      </w:r>
      <w:r>
        <w:br/>
        <w:t xml:space="preserve">1. Избрание Председателя Совета директоров ОАО «ГАЗКОН». </w:t>
      </w:r>
      <w:r>
        <w:br/>
        <w:t xml:space="preserve">2. Избрание заместителя Председателя Совета директоров ОАО «ГАЗКОН». </w:t>
      </w:r>
      <w:r>
        <w:br/>
        <w:t xml:space="preserve">3. Назначение Секретаря Совета директоров ОАО «ГАЗКОН». </w:t>
      </w:r>
      <w:r>
        <w:br/>
        <w:t xml:space="preserve">4.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собрании. </w:t>
      </w:r>
      <w:r>
        <w:br/>
        <w:t xml:space="preserve">5. Об утверждении повестки дня внеочередного общего собрания акционеров ОАО «ГАЗКОН». </w:t>
      </w:r>
      <w:r>
        <w:br/>
        <w:t xml:space="preserve">6. Об определении даты составления списка лиц, имеющих право на участие во внеочередном общем собрании акционеров ОАО «ГАЗКОН». </w:t>
      </w:r>
      <w:r>
        <w:br/>
        <w:t xml:space="preserve">7. Об определении порядка уведомления акционеров о проведении внеочередного общего собрания акционеров. </w:t>
      </w:r>
      <w:r>
        <w:br/>
        <w:t xml:space="preserve">8.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>
        <w:br/>
        <w:t xml:space="preserve">9. Об избрании секретаря внеочередного общего собрания акционеров.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«28 » июня 20 11 г. М. П.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8D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38D3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F38D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2012-06-22T08:11:00Z</dcterms:created>
  <dcterms:modified xsi:type="dcterms:W3CDTF">2012-06-22T08:11:00Z</dcterms:modified>
</cp:coreProperties>
</file>