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EC4169">
      <w:r>
        <w:rPr>
          <w:rStyle w:val="headertext1"/>
        </w:rPr>
        <w:t>09.08.2011 17:01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09.08.2011 г. </w:t>
      </w:r>
      <w:r>
        <w:br/>
        <w:t xml:space="preserve">2.2. Дата проведения заседания совета директоров эмитента: 12.08.2011 г. </w:t>
      </w:r>
      <w:r>
        <w:br/>
        <w:t xml:space="preserve">2.3. Повестка дня заседания совета директоров эмитента: </w:t>
      </w:r>
      <w:r>
        <w:br/>
        <w:t xml:space="preserve">1. Утверждение Ежеквартального отчета ОАО «ГАЗКОН» за 2 квартал 2011 г.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169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416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C416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2012-06-22T07:54:00Z</dcterms:created>
  <dcterms:modified xsi:type="dcterms:W3CDTF">2012-06-22T07:55:00Z</dcterms:modified>
</cp:coreProperties>
</file>