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A1071">
      <w:r>
        <w:rPr>
          <w:rStyle w:val="headertext1"/>
        </w:rPr>
        <w:t>15.08.2011 19:13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период II кв. 2011 г. </w:t>
      </w:r>
      <w: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15.08.2011. </w:t>
      </w:r>
      <w:r>
        <w:br/>
        <w:t xml:space="preserve">2.3. Порядок предоставления эмитентом копий ежеквартального отчета заинтересованным лицам.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Кочетков Г. Г. </w:t>
      </w:r>
      <w:r>
        <w:br/>
        <w:t>3.2. Дата подписания сообщения уполномоченным лицом эмитента: 15.08.2011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71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071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A107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2012-06-22T07:51:00Z</dcterms:created>
  <dcterms:modified xsi:type="dcterms:W3CDTF">2012-06-22T07:52:00Z</dcterms:modified>
</cp:coreProperties>
</file>