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A36E4">
      <w:r>
        <w:rPr>
          <w:rStyle w:val="headertext1"/>
        </w:rPr>
        <w:t>28.09.2011 17:50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Включение эмиссионных ценных бумаг эмитента в список ценных бумаг, допущенных к торгам российским организатором торговли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включении</w:t>
      </w:r>
      <w:proofErr w:type="gramEnd"/>
      <w:r>
        <w:t xml:space="preserve"> эмиссионных ценных бумаг эмитента в список ценных бумаг, допущенных к торгам российским организатором торговли на рынке ценных бумаг»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Закрытое акционерное общество «Фондовая биржа ММВБ». </w:t>
      </w:r>
      <w:r>
        <w:br/>
        <w:t xml:space="preserve">2.2. </w:t>
      </w:r>
      <w:proofErr w:type="gramStart"/>
      <w:r>
        <w:t xml:space="preserve"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акции обыкновенные именные бездокументарные Открытого акционерного общества «ГАЗКОН» (государственный регистрационный номер 1-01-09870-А от 19 ноября 2004г.). </w:t>
      </w:r>
      <w:r>
        <w:br/>
        <w:t>2.3.</w:t>
      </w:r>
      <w:proofErr w:type="gramEnd"/>
      <w:r>
        <w:t xml:space="preserve"> Эмиссионные ценные бумаги эмитента включены в раздел «Перечень </w:t>
      </w:r>
      <w:proofErr w:type="spellStart"/>
      <w:r>
        <w:t>внесписочных</w:t>
      </w:r>
      <w:proofErr w:type="spellEnd"/>
      <w:r>
        <w:t xml:space="preserve"> ценных бумаг» Списка ценных бумаг, допущенных к торгам в ЗАО «ФБ ММВБ». </w:t>
      </w:r>
      <w:r>
        <w:br/>
        <w:t xml:space="preserve">2.4. 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бумаг): 28 сентября 2011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28 » сентября 20 11 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E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36E4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A36E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2012-06-22T07:45:00Z</dcterms:created>
  <dcterms:modified xsi:type="dcterms:W3CDTF">2012-06-22T07:46:00Z</dcterms:modified>
</cp:coreProperties>
</file>