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47768">
      <w:r>
        <w:rPr>
          <w:rStyle w:val="headertext1"/>
        </w:rPr>
        <w:t>06.10.2011 16:47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06.10.2011 г. </w:t>
      </w:r>
      <w:r>
        <w:br/>
        <w:t xml:space="preserve">2.2. Дата проведения заседания совета директоров эмитента: 07.10.2011 г. </w:t>
      </w:r>
      <w:r>
        <w:br/>
        <w:t xml:space="preserve">2.3. Повестка дня заседания совета директоров эмитента: </w:t>
      </w:r>
      <w:r>
        <w:br/>
        <w:t xml:space="preserve">1. Определение цены размещения акций дополнительного выпуска.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«06 » октября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76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47768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4776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2012-06-22T07:41:00Z</dcterms:created>
  <dcterms:modified xsi:type="dcterms:W3CDTF">2012-06-22T07:42:00Z</dcterms:modified>
</cp:coreProperties>
</file>