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E256B">
      <w:r>
        <w:rPr>
          <w:rStyle w:val="headertext1"/>
        </w:rPr>
        <w:t>28.11.2011 09:39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19.11.2004); акции обыкновенные, именные, бездокументарные (государственный регистрационный номер выпуска 1-01-09870-А-002D от 01.09.2011). </w:t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во внеочередном общем собрании акционеров ОАО «ГАЗКОН», назначенном на 26 декабря 2011 г. </w:t>
      </w:r>
      <w:r>
        <w:br/>
      </w:r>
      <w:r>
        <w:br/>
        <w:t xml:space="preserve">2.3. Дата, на которую составляется список владельцев именных эмиссионными ценных бумаг эмитента: 25 ноября 2011 г. на конец операционного дня </w:t>
      </w:r>
      <w:r>
        <w:br/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25.11.2011 г., Протокол №40 заседания Совета директоров ОАО «ГАЗКОН»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«25 » ноября 20 11 г. М. П.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56B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256B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E256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2012-06-22T07:29:00Z</dcterms:created>
  <dcterms:modified xsi:type="dcterms:W3CDTF">2012-06-22T07:29:00Z</dcterms:modified>
</cp:coreProperties>
</file>