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D02DCB">
      <w:r>
        <w:rPr>
          <w:rStyle w:val="headertext1"/>
        </w:rPr>
        <w:t>28.12.2007 10:13</w:t>
      </w:r>
      <w:r>
        <w:t xml:space="preserve"> </w:t>
      </w:r>
      <w:r>
        <w:rPr>
          <w:rStyle w:val="headertext1"/>
        </w:rPr>
        <w:t>Открытое акционерное общество "ГАЗКОН"</w:t>
      </w:r>
      <w:r>
        <w:t xml:space="preserve"> </w:t>
      </w:r>
      <w:r>
        <w:rPr>
          <w:rStyle w:val="headertext1"/>
        </w:rPr>
        <w:t>Утверждение решения о выпуске эмиссионных ценных бумаг</w:t>
      </w:r>
      <w:r>
        <w:t xml:space="preserve"> </w:t>
      </w:r>
      <w:r>
        <w:br/>
      </w:r>
      <w:r>
        <w:br/>
        <w:t xml:space="preserve">Сообщение об утверждении решения о выпуске ценных бумаг </w:t>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г.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 </w:t>
      </w:r>
      <w:r>
        <w:br/>
      </w:r>
      <w:r>
        <w:br/>
      </w:r>
      <w:r>
        <w:br/>
        <w:t xml:space="preserve">2. Содержание сообщения </w:t>
      </w:r>
      <w:r>
        <w:br/>
        <w:t xml:space="preserve">2.1. Орган управления эмитента, утвердивший решение о выпуске ценных бумаг, и способ принятия решения: Общее собрание акционеров Открытого акционерного общества «ГАЗКОН», совместное присутствие акционеров для обсуждения вопросов повестки дня и принятия решений по вопросам, поставленным на голосование. </w:t>
      </w:r>
      <w:r>
        <w:br/>
        <w:t xml:space="preserve">2.2. Дата и место проведения заседания уполномоченного органа управления эмитента, на котором принято решение об утверждении решения о выпуске ценных бумаг: 27 декабря 2007 г., г.Москва, Симферопольский б-р, д.13 </w:t>
      </w:r>
      <w:r>
        <w:br/>
        <w:t xml:space="preserve">2.3. Дата составления и номер протокола заседания уполномоченного органа управления эмитента, на котором принято решение об утверждении решения о выпуске ценных бумаг:27 декабря 2007 г., ПРОТОКОЛ № 8 </w:t>
      </w:r>
      <w:r>
        <w:br/>
        <w:t xml:space="preserve">2.4. Кворум по вопросу об утверждении решения о выпуске ценных бумаг и итоги голосования: </w:t>
      </w:r>
      <w:r>
        <w:br/>
        <w:t xml:space="preserve">Число голосов, которыми обладали лица, включенные в список лиц, имеющих право на участие в общем собрании: 15 000 000 голосов. </w:t>
      </w:r>
      <w:r>
        <w:br/>
        <w:t xml:space="preserve">Число голосов, которыми обладали лица, принявшие участие в общем собрании: 15 000 000 голосов. Кворум по данному вопросу имелся. </w:t>
      </w:r>
      <w:r>
        <w:br/>
        <w:t xml:space="preserve">ИТОГИ ГОЛОСОВАНИЯ: </w:t>
      </w:r>
      <w:r>
        <w:br/>
        <w:t xml:space="preserve">ПРОГОЛОСОВАЛИ: За 15 000 000 Голосов, 100.0000 % </w:t>
      </w:r>
      <w:r>
        <w:br/>
        <w:t xml:space="preserve">Против 0 Голосов, 0.0000 % </w:t>
      </w:r>
      <w:r>
        <w:br/>
        <w:t xml:space="preserve">Воздержался 0 Голосов, 0.0000 % </w:t>
      </w:r>
      <w:r>
        <w:br/>
        <w:t xml:space="preserve">Бюллетень недействителен 0, Голосов 0.0000 % </w:t>
      </w:r>
      <w:r>
        <w:br/>
        <w:t xml:space="preserve">Не голосовал 0 Голосов, 0.0000 % </w:t>
      </w:r>
      <w:r>
        <w:br/>
        <w:t xml:space="preserve">Решение принято. </w:t>
      </w:r>
      <w:r>
        <w:br/>
        <w:t xml:space="preserve">2.5. Сведения о ценных бумагах и условиях их размещения: </w:t>
      </w:r>
      <w:r>
        <w:br/>
        <w:t xml:space="preserve">2.5.1. Вид, категория (тип), серия и иные идентификационные признаки размещаемых ценных бумаг: облигации на предъявителя неконвертируемые дисконтные документарные с обязательным централизованным хранением серии 01, с обеспечением (далее - Облигации). </w:t>
      </w:r>
      <w:r>
        <w:br/>
        <w:t xml:space="preserve">2.5.2. Срок погашения: в 1 110-й (Одна тысяча сто десятый) день с даты начала размещения облигаций выпуска. </w:t>
      </w:r>
      <w:r>
        <w:br/>
        <w:t xml:space="preserve">2.5.3. Количество размещаемых ценных бумаг и номинальная стоимость каждой размещаемой ценной бумаги: 30 000 000 (Тридцать миллионов) штук номинальной стоимостью 1 000 (Одна тысяча) рублей каждая. </w:t>
      </w:r>
      <w:r>
        <w:br/>
      </w:r>
      <w:r>
        <w:lastRenderedPageBreak/>
        <w:t xml:space="preserve">2.5.4. Способ размещения ценных бумаг: открытая подписка. </w:t>
      </w:r>
      <w:r>
        <w:br/>
        <w:t xml:space="preserve">2.5.5. Цена размещения ценных бумаг или порядок ее определения: </w:t>
      </w:r>
      <w:r>
        <w:br/>
        <w:t xml:space="preserve">Цена размещения Облигаций в Дату начала размещения определяется уполномоченным органом управления Эмитента одновременно с Датой начала размещения Облигаций и доводится до сведения потенциальных приобретателей в порядке и сроки, предусмотренные п. 11 Решения о выпуске ценных бумаг и п. 2.9. Проспекта ценных бумаг. </w:t>
      </w:r>
      <w:r>
        <w:br/>
        <w:t xml:space="preserve">Цена размещения Облигаций в Дату начала размещения определяется уполномоченным органом управления Эмитента одновременно с Датой начала размещения Облигаций и доводится до сведения потенциальных приобретателей в порядке и сроки, определенные Федеральным законом «О рынке ценных бумаг» и нормативными актами федерального органа исполнительной власти по рынку ценных бумаг. </w:t>
      </w:r>
      <w:r>
        <w:br/>
        <w:t xml:space="preserve">Цена размещения Облигаций в Дату начала размещения устанавливается в цифровом выражении в валюте Российской Федерации с точностью до одной копейки и в процентах от номинальной стоимости за одну Облигацию с точностью до одной тысячной доли процента. Цена размещения Облигаций в Дату начала размещения, определенная уполномоченным органом управления Эмитента, не может быть менее 550 (пятисот пятидесяти) рублей (55 (Пятидесяти пяти) процентов от номинальной стоимости Облигаций). </w:t>
      </w:r>
      <w:r>
        <w:br/>
        <w:t xml:space="preserve">Начиная с дня, следующего за Датой начала размещения Облигаций, цена размещения Облигаций в любой день в течение срока размещения Облигаций (текущая цена размещения) определяется исходя из доходности Облигаций на Дату начала размещения и рассчитывается по следующей формуле: </w:t>
      </w:r>
      <w:r>
        <w:br/>
        <w:t xml:space="preserve">P = Nom / (1 + (Nom-P0) / P0 *(Tm-T) / 1110) </w:t>
      </w:r>
      <w:r>
        <w:br/>
        <w:t xml:space="preserve">где: </w:t>
      </w:r>
      <w:r>
        <w:br/>
        <w:t xml:space="preserve">P – текущая цена размещения одной Облигации, руб.; </w:t>
      </w:r>
      <w:r>
        <w:br/>
        <w:t xml:space="preserve">Nom – номинальная стоимость одной Облигации, руб.; </w:t>
      </w:r>
      <w:r>
        <w:br/>
        <w:t xml:space="preserve">Р0 – Цена размещения одной Облигации в Дату начала размещения, руб.; </w:t>
      </w:r>
      <w:r>
        <w:br/>
        <w:t xml:space="preserve">Tm – Дата погашения Облигаций; </w:t>
      </w:r>
      <w:r>
        <w:br/>
        <w:t xml:space="preserve">T – текущая дата размещения Облигаций; </w:t>
      </w:r>
      <w:r>
        <w:br/>
        <w:t xml:space="preserve">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тысячной доли процента (округление производится по правилам математического округления, а именно: в случае, следующая за округляемой цифра больше или равна 5, округляемая цифра увеличивается на единицу, в случае, если следующая за округляемой цифра меньше 5, округляемая цифра не изменяется). </w:t>
      </w:r>
      <w:r>
        <w:br/>
        <w:t xml:space="preserve">Преимущественное право приобретения размещаемых ценных бумаг не предусмотрено. </w:t>
      </w:r>
      <w:r>
        <w:br/>
        <w:t xml:space="preserve">2.5.6. Срок (даты начала и окончания) размещения ценных бумаг или порядок его определения: </w:t>
      </w:r>
      <w:r>
        <w:br/>
        <w:t xml:space="preserve">Дата начала размещения или порядок ее определения: </w:t>
      </w:r>
      <w:r>
        <w:br/>
        <w:t xml:space="preserve">Размещение Облигаций начинается не ранее, чем через две недели после раскрытия информации о государственной регистрации выпуска Облигаций и порядке доступа к информации, содержащейся в Проспекте ценных бумаг. </w:t>
      </w:r>
      <w:r>
        <w:br/>
        <w:t xml:space="preserve">Сообщение о государственной регистрации выпуска Облигаций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 </w:t>
      </w:r>
      <w:r>
        <w:br/>
        <w:t xml:space="preserve">Указанный двухнедельный срок исчисляется с момента публикации сообщения в газете «Ежедневные новости. Подмосковье», при условии соблюдения очередности раскрытия информации, указанной ниже. </w:t>
      </w:r>
      <w:r>
        <w:br/>
        <w:t xml:space="preserve">Сообщение о государственной регистрации выпуска Облигаций и о порядке доступа к </w:t>
      </w:r>
      <w:r>
        <w:lastRenderedPageBreak/>
        <w:t xml:space="preserve">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w:t>
      </w:r>
      <w:r>
        <w:br/>
        <w:t xml:space="preserve">- в ленте новостей – не позднее 1 (Одного) дня; </w:t>
      </w:r>
      <w:r>
        <w:br/>
        <w:t xml:space="preserve">- на странице в сети «Интернет» http://www.e-disclosure.ru/ – не позднее 2 (Двух) дней; </w:t>
      </w:r>
      <w:r>
        <w:br/>
        <w:t xml:space="preserve">- в газете «Ежедневные новости. Подмосковье» – не позднее 10 (Десяти) дней. </w:t>
      </w:r>
      <w:r>
        <w:br/>
        <w:t xml:space="preserve">При этом публикация в сети Интернет и в газете «Ежедневные новости. Подмосковье» осуществляется после публикации в ленте новостей. </w:t>
      </w:r>
      <w:r>
        <w:br/>
        <w:t xml:space="preserve">Дата начала размещения Облигаций определяется уполномоченным органом управления Эмитента после государственной регистрации выпуска Облигаций и раскрывается Эмитентом в следующие сроки: </w:t>
      </w:r>
      <w:r>
        <w:br/>
        <w:t xml:space="preserve">- в ленте новостей - не позднее, чем за 5 (Пять) дней до даты начала размещения Облигаций; </w:t>
      </w:r>
      <w:r>
        <w:br/>
        <w:t xml:space="preserve">- на странице в сети Интернет http://www.e-disclosure.ru/ – не позднее, чем за 4 (Четыре) дня до даты начала размещения Облигаций. </w:t>
      </w:r>
      <w:r>
        <w:br/>
        <w:t xml:space="preserve">При этом публикация в сети Интернет осуществляется после публикации в ленте новостей. </w:t>
      </w:r>
      <w:r>
        <w:br/>
        <w:t xml:space="preserve">При этом размещение ценных бумаг не может осуществляться до опубликования Эмитентом сообщения о цене размещения в ленте новостей и на странице в сети Интернет, в случае, если в сообщении о государственной регистрации выпуска ценных бумаг или в сообщении о дате начала размещения ценных бумаг не указана цена размещения ценных бумаг в дату начала размещения. </w:t>
      </w:r>
      <w:r>
        <w:br/>
        <w:t xml:space="preserve">Дата начала размещения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определенному законодательством Российской Федерации, Решением о выпуске ценных бумаг и Проспектом ценных бумаг. </w:t>
      </w:r>
      <w:r>
        <w:br/>
        <w:t xml:space="preserve">Дата окончания размещения или порядок ее определения: </w:t>
      </w:r>
      <w:r>
        <w:br/>
        <w:t xml:space="preserve">Датой окончания размещения Облигаций является более ранняя из следующих дат: </w:t>
      </w:r>
      <w:r>
        <w:br/>
        <w:t xml:space="preserve">1) 120 (Сто двадцатый) день с даты начала размещения Облигаций; </w:t>
      </w:r>
      <w:r>
        <w:br/>
        <w:t xml:space="preserve">2) дата размещения последней Облигации данного выпуска. </w:t>
      </w:r>
      <w:r>
        <w:br/>
        <w:t xml:space="preserve">При этом дата окончания размещения Облигаций не может быть позднее одного года с даты государственной регистрации выпуска Облигаций. </w:t>
      </w:r>
      <w:r>
        <w:br/>
        <w:t xml:space="preserve">2.5.7. Иные условия размещения ценных бумаг, определенные решением об их размещении: </w:t>
      </w:r>
      <w:r>
        <w:br/>
        <w:t xml:space="preserve">Размещение Облигаций осуществляется с использование системы торгов Закрытого акционерного общества «Фондовая биржа ММВБ». </w:t>
      </w:r>
      <w:r>
        <w:br/>
        <w:t xml:space="preserve">Размещение Облигаций осуществляется организацией, оказывающей Эмитенту услуги по размещению Облигаций, действующей по поручению и за счёт Эмитента. Такой организацией является Закрытое акционерное общество «АЛОР ИНВЕСТ» </w:t>
      </w:r>
      <w:r>
        <w:br/>
        <w:t xml:space="preserve">Депозитарий осуществляющий централизованное хранение Облигаций: </w:t>
      </w:r>
      <w:r>
        <w:br/>
        <w:t xml:space="preserve">Некоммерческое партнерство «Национальный депозитарный центр», место нахождения : Место нахождения: г. Москва, Средний Кисловский пер., д. 1/13, стр. 4 (далее – «НДЦ»). </w:t>
      </w:r>
      <w:r>
        <w:br/>
        <w:t xml:space="preserve">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таких Облигаций. </w:t>
      </w:r>
      <w:r>
        <w:br/>
        <w:t xml:space="preserve">Погашение Облигаций выпуска производится в денежной форме в валюте Российской Федерации в безналичном порядке. Возможность выбора владельцами Облигаций формы погашения </w:t>
      </w:r>
      <w:r>
        <w:lastRenderedPageBreak/>
        <w:t xml:space="preserve">Облигаций не предусмотрена. </w:t>
      </w:r>
      <w:r>
        <w:br/>
        <w:t xml:space="preserve">Если дата погашения Облигаций приходится на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выходным. Владелец Облигации не имеет права требовать начисления процентов или какой-либо иной компенсации за такую задержку в платеже. Порядок и условия погашения: </w:t>
      </w:r>
      <w:r>
        <w:br/>
        <w:t xml:space="preserve">Облигации погашаются по номинальной стоимости. </w:t>
      </w:r>
      <w:r>
        <w:br/>
        <w:t xml:space="preserve">Погашение Облигаций производится Эмитентом самостоятельно. </w:t>
      </w:r>
      <w:r>
        <w:br/>
        <w:t xml:space="preserve">Погашение Облигаций производится путем перевода денежных средств лицам, включенным НДЦ в Перечень владельцев и/или номинальных держателей Облигаций, в пользу владельцев Облигаций. </w:t>
      </w:r>
      <w:r>
        <w:br/>
        <w:t xml:space="preserve">В Дату погашения Облигаций Эмитент перечисляет необходимые денежные средства на счета лиц, уполномоченных получать суммы погашения по Облигациям, указанных в Перечне владельцев и/или номинальных держателей Облигаций. </w:t>
      </w:r>
      <w:r>
        <w:br/>
        <w:t xml:space="preserve">В случае если одно лицо уполномочено получать суммы погашения по Облигациям со стороны нескольких владельцев Облигаций, то такому лицу перечисляется общая сумма без разбивки по каждому владельцу Облигаций. Номинальные держатели Облигаций, не являющиеся владельцами Облигаций, перечисляют денежные средства, полученные в погашение Облигаций, владельцам Облигаций в порядке, определенном договором между номинальным держателем Облигаций и владельцем Облигаций. </w:t>
      </w:r>
      <w:r>
        <w:br/>
        <w:t xml:space="preserve">Порядок и условия досрочного погашения: </w:t>
      </w:r>
      <w:r>
        <w:br/>
        <w:t xml:space="preserve">Предусмотрена возможность досрочного погашения Облигаций по усмотрению Эмитента. </w:t>
      </w:r>
      <w:r>
        <w:br/>
        <w:t xml:space="preserve">Уполномоченный орган управления Эмитента может принять решение о досрочном погашении Облигаций в течение периода их обращения. </w:t>
      </w:r>
      <w:r>
        <w:br/>
        <w:t xml:space="preserve">Досрочное погашение Облигаций по усмотрению Эмитента осуществляется в отношении всех Облигаций выпуска. Приобретение Облигаций означает согласие приобретателя Облигаций на их досрочное погашение по усмотрению Эмитента в соответствии с условиями Решения о выпуске ценных бумаг и Проспекта ценных бумаг. </w:t>
      </w:r>
      <w:r>
        <w:br/>
        <w:t xml:space="preserve">Стоимость досрочного погашения: Досрочное погашение Облигаций по усмотрению Эмитента производится по цене, равной 100% номинальной стоимости Облигации (далее по тексту - «Цена досрочного погашения Облигаций»). </w:t>
      </w:r>
      <w:r>
        <w:br/>
        <w:t xml:space="preserve">Срок, не ранее которого Облигации могут быть досрочно погашены: Досрочное погашение не может быть начато ранее даты государственной регистрации Отчета об итогах выпуска ценных бумаг и полной оплаты Облигаций. Информацию о государственной регистрации отчета об итогах выпуска ценных бумаг Эмитент раскрывает в порядке и сроки, определенные Федеральным законом «О рынке ценных бумаг» и нормативными актами федерального органа исполнительной власти по рынку ценных бумаг. </w:t>
      </w:r>
      <w:r>
        <w:br/>
        <w:t xml:space="preserve">Срок, в течение которого Облигации могут быть досрочно погашены Эмитентом: </w:t>
      </w:r>
      <w:r>
        <w:br/>
        <w:t xml:space="preserve">Дата начала досрочного погашения: </w:t>
      </w:r>
      <w:r>
        <w:br/>
        <w:t xml:space="preserve">Эмитент имеет право досрочно погасить Облигации в любой день в течение периода их обращения, но не ранее даты государственной регистрации Отчета об итогах выпуска ценных бумаг и полной оплаты Облигаций. Эмитент определяет дату начала досрочного погашения Облигаций одновременно с принятием решения о досрочном погашении и раскрывает указанную информацию в порядке и сроки, определенные Федеральным законом «О рынке ценных бумаг» и нормативными актами федерального органа исполнительной власти по рынку ценных бумаг. </w:t>
      </w:r>
      <w:r>
        <w:br/>
        <w:t xml:space="preserve">Если дата досрочного погашения Облигаций выпадает на выходной день - независимо от того, будет ли это государственный выходной день или выходной день для расчетных операций, - то </w:t>
      </w:r>
      <w:r>
        <w:lastRenderedPageBreak/>
        <w:t xml:space="preserve">выплата надлежащей суммы производится в первый рабочий день, следующий за выходным. Владелец Облигаций не имеет права требовать начисления процентов или какой-либо иной компенсации за такую задержку платежа. </w:t>
      </w:r>
      <w:r>
        <w:br/>
        <w:t xml:space="preserve">Дата окончания досрочного погашения: </w:t>
      </w:r>
      <w:r>
        <w:br/>
        <w:t xml:space="preserve">Даты начала и окончания досрочного погашения Облигаций выпуска совпадают. </w:t>
      </w:r>
      <w:r>
        <w:br/>
        <w:t xml:space="preserve">Иные условия и порядок досрочного погашения Облигаций: </w:t>
      </w:r>
      <w:r>
        <w:br/>
        <w:t xml:space="preserve">Досрочное погашение Облигаций выпуска производится в денежной форме в валюте Российской Федерации в безналичном порядке. Возможность выбора владельцами Облигаций формы досрочного погашения Облигаций не предусмотрена. </w:t>
      </w:r>
      <w:r>
        <w:br/>
        <w:t xml:space="preserve">Досрочное погашение Облигаций производится Эмитентом самостоятельно. </w:t>
      </w:r>
      <w:r>
        <w:br/>
        <w:t xml:space="preserve">Досрочное погашение Облигаций производится путем перевода денежных средств лицам, включенным НДЦ в Перечень владельцев и/или номинальных держателей Облигаций, в пользу владельцев Облигаций. </w:t>
      </w:r>
      <w:r>
        <w:br/>
        <w:t xml:space="preserve">В дату досрочного погашения Облигаций Эмитент перечисляет необходимые денежные средства на счета лиц, уполномоченных получать суммы досрочного погашения по Облигациям, указанных в Перечне владельцев и/или номинальных держателей Облигаций. </w:t>
      </w:r>
      <w:r>
        <w:br/>
        <w:t xml:space="preserve">В случае если одно лицо уполномочено на получение сумм досрочного погашения по Облигациям со стороны нескольких Владельцев Облигаций, то такому лицу перечисляется общая сумма без разбивки по каждому Владельцу Облигаций. Номинальные держатели Облигаций, не являющиеся владельцами Облигаций, перечисляют денежные средства, полученные в погашение Облигаций, владельцам Облигаций в порядке, определенном договором между номинальным держателем Облигаций и владельцем Облигаций. </w:t>
      </w:r>
      <w:r>
        <w:br/>
        <w:t xml:space="preserve">2.5.8. Предоставление акционерам эмитента и/или иным лицам преимущественного права приобретения ценных бумаг: преимущественное право приобретения размещаемых ценных бумаг не предусмотрено. </w:t>
      </w:r>
      <w:r>
        <w:br/>
        <w:t xml:space="preserve">2.5.9. Эмитент обязан раскрывать информацию после каждого этапа процедуры эмиссии ценных бумаг. </w:t>
      </w:r>
      <w:r>
        <w:br/>
      </w:r>
      <w:r>
        <w:br/>
        <w:t xml:space="preserve">3.Подпись </w:t>
      </w:r>
      <w:r>
        <w:br/>
        <w:t xml:space="preserve">Директор </w:t>
      </w:r>
      <w:r>
        <w:br/>
        <w:t xml:space="preserve">ОАО «ГАЗКОН» __________Т.А. Канунникова </w:t>
      </w:r>
      <w:r>
        <w:br/>
        <w:t xml:space="preserve">(подпись) </w:t>
      </w:r>
      <w:r>
        <w:br/>
        <w:t xml:space="preserve">3.2. Дата “27” декабря 20 07 г. М.П. </w:t>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2DCB"/>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5F5C"/>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5B68"/>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3D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4C53"/>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2DBF"/>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5B3E"/>
    <w:rsid w:val="00396A5A"/>
    <w:rsid w:val="00396DC6"/>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28A"/>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3B2C"/>
    <w:rsid w:val="0047492C"/>
    <w:rsid w:val="004751DC"/>
    <w:rsid w:val="004752BA"/>
    <w:rsid w:val="004755B3"/>
    <w:rsid w:val="004758EC"/>
    <w:rsid w:val="004768D3"/>
    <w:rsid w:val="0047771D"/>
    <w:rsid w:val="004808FA"/>
    <w:rsid w:val="004836FE"/>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688"/>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0636"/>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628"/>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2864"/>
    <w:rsid w:val="006A4059"/>
    <w:rsid w:val="006B013D"/>
    <w:rsid w:val="006B093A"/>
    <w:rsid w:val="006B2B90"/>
    <w:rsid w:val="006B3B74"/>
    <w:rsid w:val="006C0382"/>
    <w:rsid w:val="006C3487"/>
    <w:rsid w:val="006C5636"/>
    <w:rsid w:val="006C7EB5"/>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1163"/>
    <w:rsid w:val="00782539"/>
    <w:rsid w:val="00782C29"/>
    <w:rsid w:val="00783BB4"/>
    <w:rsid w:val="00784C35"/>
    <w:rsid w:val="00785414"/>
    <w:rsid w:val="00786117"/>
    <w:rsid w:val="007862B5"/>
    <w:rsid w:val="00790723"/>
    <w:rsid w:val="00790A3A"/>
    <w:rsid w:val="007935CC"/>
    <w:rsid w:val="00793FAA"/>
    <w:rsid w:val="007943D0"/>
    <w:rsid w:val="00795992"/>
    <w:rsid w:val="007965A4"/>
    <w:rsid w:val="00797FAE"/>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128B"/>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0C9B"/>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040F"/>
    <w:rsid w:val="008C16F8"/>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65CE"/>
    <w:rsid w:val="009069A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5606"/>
    <w:rsid w:val="00A56DB2"/>
    <w:rsid w:val="00A574B4"/>
    <w:rsid w:val="00A622BF"/>
    <w:rsid w:val="00A6238D"/>
    <w:rsid w:val="00A64339"/>
    <w:rsid w:val="00A6539D"/>
    <w:rsid w:val="00A6685D"/>
    <w:rsid w:val="00A700F5"/>
    <w:rsid w:val="00A706AE"/>
    <w:rsid w:val="00A70AF5"/>
    <w:rsid w:val="00A70D40"/>
    <w:rsid w:val="00A70FA7"/>
    <w:rsid w:val="00A76259"/>
    <w:rsid w:val="00A81D8F"/>
    <w:rsid w:val="00A82A74"/>
    <w:rsid w:val="00A838D9"/>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959"/>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377E"/>
    <w:rsid w:val="00B54BBF"/>
    <w:rsid w:val="00B56B66"/>
    <w:rsid w:val="00B56FC7"/>
    <w:rsid w:val="00B57563"/>
    <w:rsid w:val="00B612BD"/>
    <w:rsid w:val="00B61845"/>
    <w:rsid w:val="00B62494"/>
    <w:rsid w:val="00B63B55"/>
    <w:rsid w:val="00B647A6"/>
    <w:rsid w:val="00B66DF2"/>
    <w:rsid w:val="00B66F45"/>
    <w:rsid w:val="00B709D9"/>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95224"/>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2F90"/>
    <w:rsid w:val="00CE473F"/>
    <w:rsid w:val="00CE59D5"/>
    <w:rsid w:val="00CF475B"/>
    <w:rsid w:val="00CF6FB4"/>
    <w:rsid w:val="00CF7073"/>
    <w:rsid w:val="00D0117C"/>
    <w:rsid w:val="00D02214"/>
    <w:rsid w:val="00D02259"/>
    <w:rsid w:val="00D02DCB"/>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4DD"/>
    <w:rsid w:val="00D4087E"/>
    <w:rsid w:val="00D414D4"/>
    <w:rsid w:val="00D41BA0"/>
    <w:rsid w:val="00D436B4"/>
    <w:rsid w:val="00D437DD"/>
    <w:rsid w:val="00D50C00"/>
    <w:rsid w:val="00D51B11"/>
    <w:rsid w:val="00D52A5D"/>
    <w:rsid w:val="00D52D7E"/>
    <w:rsid w:val="00D53D5D"/>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4966"/>
    <w:rsid w:val="00E9552F"/>
    <w:rsid w:val="00E97726"/>
    <w:rsid w:val="00EA1233"/>
    <w:rsid w:val="00EA3341"/>
    <w:rsid w:val="00EA4086"/>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3E3"/>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47138"/>
    <w:rsid w:val="00F507A5"/>
    <w:rsid w:val="00F50D3F"/>
    <w:rsid w:val="00F52CE5"/>
    <w:rsid w:val="00F555D5"/>
    <w:rsid w:val="00F56BAE"/>
    <w:rsid w:val="00F572AC"/>
    <w:rsid w:val="00F57C98"/>
    <w:rsid w:val="00F600F2"/>
    <w:rsid w:val="00F61B5B"/>
    <w:rsid w:val="00F62BB3"/>
    <w:rsid w:val="00F651C8"/>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A40"/>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D02DCB"/>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2212</Words>
  <Characters>12612</Characters>
  <Application>Microsoft Office Word</Application>
  <DocSecurity>0</DocSecurity>
  <Lines>105</Lines>
  <Paragraphs>29</Paragraphs>
  <ScaleCrop>false</ScaleCrop>
  <Company>Microsoft</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2012-06-22T12:15:00Z</dcterms:created>
  <dcterms:modified xsi:type="dcterms:W3CDTF">2012-06-22T12:16:00Z</dcterms:modified>
</cp:coreProperties>
</file>