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8E1275">
      <w:r>
        <w:rPr>
          <w:rStyle w:val="headertext1"/>
        </w:rPr>
        <w:t>20.02.2008 08:00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Заключение эмитентом договора с фондовой биржей или организатором торговли, на основании которого осуществляется листинг либо допуск к обращению ценных бумаг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заключении акционерным обществом договора с фондовой биржей, на основании которого осуществляется </w:t>
      </w:r>
      <w:r>
        <w:br/>
        <w:t xml:space="preserve">листинг ценных бумаг акционерного общества: </w:t>
      </w:r>
      <w:r>
        <w:br/>
        <w:t xml:space="preserve">2.1. Полное фирменное наименование фондовой биржи, осуществляющей листинг ценных бумаг акционерного общества: Открытое акционерное общество «Фондовая биржа «Российская Торговая Система». </w:t>
      </w:r>
      <w:r>
        <w:br/>
        <w:t xml:space="preserve">2.2. Вид, категория, тип ценных бумаг акционерного общества, листинг которых осуществляется фондовой биржей: обыкновенные именные бездокументарные акции Открытого акционерного общества «Газ-сервис». </w:t>
      </w:r>
      <w:r>
        <w:br/>
        <w:t>2.3. Дата заключения и номер договора, на основании которого фондовой биржей осуществляется листинг ценных бумаг акционерного общества: Договор об оказании услуг листинга № 182</w:t>
      </w:r>
      <w:proofErr w:type="gramStart"/>
      <w:r>
        <w:t>/Д</w:t>
      </w:r>
      <w:proofErr w:type="gramEnd"/>
      <w:r>
        <w:t xml:space="preserve"> от «19» февраля 2008 года. </w:t>
      </w:r>
      <w:r>
        <w:br/>
        <w:t xml:space="preserve">3. Подпись </w:t>
      </w:r>
      <w:r>
        <w:br/>
        <w:t xml:space="preserve">3.1. Генеральный директор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ОАО «ГАЗКОН» </w:t>
      </w:r>
      <w:r>
        <w:br/>
        <w:t xml:space="preserve">3.2. Дата «19»февраля 2008 года (подпись) М.П.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275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5B68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0636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C7EB5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1275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E1275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2012-06-22T12:09:00Z</dcterms:created>
  <dcterms:modified xsi:type="dcterms:W3CDTF">2012-06-22T12:09:00Z</dcterms:modified>
</cp:coreProperties>
</file>