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61B35">
      <w:r>
        <w:rPr>
          <w:rStyle w:val="headertext1"/>
        </w:rPr>
        <w:t>22.05.2009 08:03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дате закрытия реестра акционеров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Категория (тип) акций эмитента, в отношении которых составляется список их владельцев на определенную дату: </w:t>
      </w:r>
      <w:r>
        <w:br/>
        <w:t xml:space="preserve">акции обыкновенные, именные, бездокументарные (государственный регистрационный номер выпуска 1-01-09870-А от 19.11.2004) </w:t>
      </w:r>
      <w:r>
        <w:br/>
        <w:t xml:space="preserve">2.2. Цель, для которой составляется список владельцев акций эмитента: </w:t>
      </w:r>
      <w:r>
        <w:br/>
        <w:t xml:space="preserve">составление списка лиц, имеющих право на участие в годовом общем собрании акционеров ОАО «ГАЗКОН», назначенном на 29 июня 2009 г. </w:t>
      </w:r>
      <w:r>
        <w:br/>
        <w:t xml:space="preserve">2.3. Дата, на которую составляется список владельцев акций эмитента: 21 мая 2009 г. </w:t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акций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</w:t>
      </w:r>
      <w:r>
        <w:br/>
        <w:t xml:space="preserve">21.05.2009, Протокол №11 заседания Совета директоров ОАО «ГАЗКОН»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" «21 » мая 20 09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B35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1B3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61B35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2012-06-22T11:22:00Z</dcterms:created>
  <dcterms:modified xsi:type="dcterms:W3CDTF">2012-06-22T11:23:00Z</dcterms:modified>
</cp:coreProperties>
</file>