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30C60">
      <w:r>
        <w:rPr>
          <w:rStyle w:val="headertext1"/>
        </w:rPr>
        <w:t>16.11.2009 08:08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3 квартал 2009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13 ноября 2009 г. </w:t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</w:r>
      <w:r>
        <w:lastRenderedPageBreak/>
        <w:t xml:space="preserve">3.1. Директор ОАО «ГАЗКОН» </w:t>
      </w:r>
      <w:r>
        <w:br/>
      </w:r>
      <w:r>
        <w:br/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13 </w:t>
      </w:r>
      <w:r>
        <w:br/>
        <w:t xml:space="preserve">» </w:t>
      </w:r>
      <w:r>
        <w:br/>
        <w:t xml:space="preserve">ноября </w:t>
      </w:r>
      <w:r>
        <w:br/>
        <w:t xml:space="preserve">20 </w:t>
      </w:r>
      <w:r>
        <w:br/>
        <w:t xml:space="preserve">09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C6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C60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30C6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2012-06-22T11:00:00Z</dcterms:created>
  <dcterms:modified xsi:type="dcterms:W3CDTF">2012-06-22T11:01:00Z</dcterms:modified>
</cp:coreProperties>
</file>